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85B4" w14:textId="2B5CBA75" w:rsidR="00FA7A66" w:rsidRPr="00FA7A66" w:rsidRDefault="00FA7A66" w:rsidP="00C3656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7A66">
        <w:rPr>
          <w:rFonts w:ascii="Times New Roman" w:hAnsi="Times New Roman" w:cs="Times New Roman"/>
          <w:b/>
          <w:bCs/>
          <w:sz w:val="32"/>
          <w:szCs w:val="32"/>
        </w:rPr>
        <w:t>Соревнования по городскому ориентированию</w:t>
      </w:r>
      <w:r w:rsidR="00C365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A7A66">
        <w:rPr>
          <w:rFonts w:ascii="Times New Roman" w:hAnsi="Times New Roman" w:cs="Times New Roman"/>
          <w:b/>
          <w:bCs/>
          <w:sz w:val="32"/>
          <w:szCs w:val="32"/>
        </w:rPr>
        <w:t>«Золотая осень»</w:t>
      </w:r>
    </w:p>
    <w:p w14:paraId="0106D8CD" w14:textId="2DEFFE30" w:rsidR="00FA7A66" w:rsidRDefault="00FA7A66" w:rsidP="00FA7A66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FA7A66">
        <w:rPr>
          <w:rFonts w:ascii="Times New Roman" w:hAnsi="Times New Roman" w:cs="Times New Roman"/>
          <w:i/>
          <w:iCs/>
          <w:sz w:val="32"/>
          <w:szCs w:val="32"/>
        </w:rPr>
        <w:t>10 сентября 2023 года</w:t>
      </w:r>
    </w:p>
    <w:p w14:paraId="2FB2F7DA" w14:textId="77777777" w:rsidR="00410886" w:rsidRDefault="00FA7A66" w:rsidP="00C3656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Карта подготовлена в 2023 году, масштаб 1:2500. Район ограничен ул. Карбышева (ЮЗ), Перова (СЗ), Чернышевского (СВ), Черняховского (ЮВ). Район соревнований состоит из жилого микрорайона и расположенного в нем сквера. В жилом микрорайоне присутствует слабоинтенсивное движение автотранспорта внутри дворовых территорий. </w:t>
      </w:r>
      <w:r w:rsidR="00E27CE2">
        <w:rPr>
          <w:rFonts w:ascii="Times New Roman" w:hAnsi="Times New Roman" w:cs="Times New Roman"/>
          <w:sz w:val="32"/>
          <w:szCs w:val="32"/>
        </w:rPr>
        <w:t>Движение по проезжей части улиц Карбышева, Черняховского, Перова запрещено (разрешено движение только по тротуару, проезжая часть указанных улиц обозначена в карте другим знаком – более темного цвета). По проезжей части дворовых территорий, а также проезжей части улицы Чернышевского разрешено передвигаться. При этом у</w:t>
      </w:r>
      <w:r>
        <w:rPr>
          <w:rFonts w:ascii="Times New Roman" w:hAnsi="Times New Roman" w:cs="Times New Roman"/>
          <w:sz w:val="32"/>
          <w:szCs w:val="32"/>
        </w:rPr>
        <w:t>частникам следует быть внимательными при движении через проезжую часть</w:t>
      </w:r>
      <w:r w:rsidR="00E27CE2">
        <w:rPr>
          <w:rFonts w:ascii="Times New Roman" w:hAnsi="Times New Roman" w:cs="Times New Roman"/>
          <w:sz w:val="32"/>
          <w:szCs w:val="32"/>
        </w:rPr>
        <w:t>, помнить о наличии во дворах движущихся транспортных средств. Участникам запрещено пересекать клумбы и частные территории (обозначены в карте оливковым цветом). При этом движение по газонам, на которых нет клумб (обозначены другими знаками) разрешено. Участникам запрещено перес</w:t>
      </w:r>
      <w:r w:rsidR="00CF4452">
        <w:rPr>
          <w:rFonts w:ascii="Times New Roman" w:hAnsi="Times New Roman" w:cs="Times New Roman"/>
          <w:sz w:val="32"/>
          <w:szCs w:val="32"/>
        </w:rPr>
        <w:t>екать</w:t>
      </w:r>
      <w:r w:rsidR="00E27CE2">
        <w:rPr>
          <w:rFonts w:ascii="Times New Roman" w:hAnsi="Times New Roman" w:cs="Times New Roman"/>
          <w:sz w:val="32"/>
          <w:szCs w:val="32"/>
        </w:rPr>
        <w:t xml:space="preserve"> </w:t>
      </w:r>
      <w:r w:rsidR="00CF4452">
        <w:rPr>
          <w:rFonts w:ascii="Times New Roman" w:hAnsi="Times New Roman" w:cs="Times New Roman"/>
          <w:sz w:val="32"/>
          <w:szCs w:val="32"/>
        </w:rPr>
        <w:t>любые</w:t>
      </w:r>
      <w:r w:rsidR="00E27CE2">
        <w:rPr>
          <w:rFonts w:ascii="Times New Roman" w:hAnsi="Times New Roman" w:cs="Times New Roman"/>
          <w:sz w:val="32"/>
          <w:szCs w:val="32"/>
        </w:rPr>
        <w:t xml:space="preserve"> заборы</w:t>
      </w:r>
      <w:r w:rsidR="00CF4452">
        <w:rPr>
          <w:rFonts w:ascii="Times New Roman" w:hAnsi="Times New Roman" w:cs="Times New Roman"/>
          <w:sz w:val="32"/>
          <w:szCs w:val="32"/>
        </w:rPr>
        <w:t xml:space="preserve"> (в т.ч</w:t>
      </w:r>
      <w:r w:rsidR="00E27CE2">
        <w:rPr>
          <w:rFonts w:ascii="Times New Roman" w:hAnsi="Times New Roman" w:cs="Times New Roman"/>
          <w:sz w:val="32"/>
          <w:szCs w:val="32"/>
        </w:rPr>
        <w:t>.</w:t>
      </w:r>
      <w:r w:rsidR="00CF4452">
        <w:rPr>
          <w:rFonts w:ascii="Times New Roman" w:hAnsi="Times New Roman" w:cs="Times New Roman"/>
          <w:sz w:val="32"/>
          <w:szCs w:val="32"/>
        </w:rPr>
        <w:t xml:space="preserve"> преодолимые, если обозначены с красной линией).</w:t>
      </w:r>
      <w:r w:rsidR="00410886">
        <w:rPr>
          <w:rFonts w:ascii="Times New Roman" w:hAnsi="Times New Roman" w:cs="Times New Roman"/>
          <w:sz w:val="32"/>
          <w:szCs w:val="32"/>
        </w:rPr>
        <w:t xml:space="preserve"> Искусственных ограждений не будет. </w:t>
      </w:r>
      <w:r w:rsidR="00C3656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73816B8" w14:textId="476DDA22" w:rsidR="00410886" w:rsidRDefault="00410886" w:rsidP="00C3656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75237">
        <w:rPr>
          <w:rFonts w:ascii="Times New Roman" w:hAnsi="Times New Roman" w:cs="Times New Roman"/>
          <w:sz w:val="32"/>
          <w:szCs w:val="32"/>
        </w:rPr>
        <w:t xml:space="preserve">Ориентирование в заданном направлении. </w:t>
      </w:r>
      <w:r w:rsidR="0088636B">
        <w:rPr>
          <w:rFonts w:ascii="Times New Roman" w:hAnsi="Times New Roman" w:cs="Times New Roman"/>
          <w:sz w:val="32"/>
          <w:szCs w:val="32"/>
        </w:rPr>
        <w:t xml:space="preserve">Старт одиночный с интервалом 2 минуты в каждой группе в соответствии со стартовым протоколом. </w:t>
      </w:r>
      <w:r w:rsidR="00F75237">
        <w:rPr>
          <w:rFonts w:ascii="Times New Roman" w:hAnsi="Times New Roman" w:cs="Times New Roman"/>
          <w:sz w:val="32"/>
          <w:szCs w:val="32"/>
        </w:rPr>
        <w:t xml:space="preserve">Легенды КП впечатаны в карту, отдельно выдаваться не будут. Нумерация КП в карте только порядковый номер. Отметка компостером в карточке участника. У групп МЖ14,16,21 двусторонняя карта, последний КП первой стороны карты является местом старта второй стороны, нумерация второй стороны карты снова с первого КП. Участникам младших групп запрещено передвижение в сопровождении взрослых людей, </w:t>
      </w:r>
      <w:r w:rsidR="00CF4452">
        <w:rPr>
          <w:rFonts w:ascii="Times New Roman" w:hAnsi="Times New Roman" w:cs="Times New Roman"/>
          <w:sz w:val="32"/>
          <w:szCs w:val="32"/>
        </w:rPr>
        <w:t>такие участники дисквалифицируются</w:t>
      </w:r>
      <w:r w:rsidR="00E104E4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к</w:t>
      </w:r>
      <w:r w:rsidR="000022AA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 xml:space="preserve">оме группы </w:t>
      </w:r>
      <w:r>
        <w:rPr>
          <w:rFonts w:ascii="Times New Roman" w:hAnsi="Times New Roman" w:cs="Times New Roman"/>
          <w:sz w:val="32"/>
          <w:szCs w:val="32"/>
          <w:lang w:val="en-US"/>
        </w:rPr>
        <w:t>OPEN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0022AA">
        <w:rPr>
          <w:rFonts w:ascii="Times New Roman" w:hAnsi="Times New Roman" w:cs="Times New Roman"/>
          <w:sz w:val="32"/>
          <w:szCs w:val="32"/>
        </w:rPr>
        <w:t xml:space="preserve">она не награждается, </w:t>
      </w:r>
      <w:r w:rsidR="00E104E4">
        <w:rPr>
          <w:rFonts w:ascii="Times New Roman" w:hAnsi="Times New Roman" w:cs="Times New Roman"/>
          <w:sz w:val="32"/>
          <w:szCs w:val="32"/>
        </w:rPr>
        <w:t>будут контролеры).</w:t>
      </w:r>
      <w:r w:rsidR="00F75237">
        <w:rPr>
          <w:rFonts w:ascii="Times New Roman" w:hAnsi="Times New Roman" w:cs="Times New Roman"/>
          <w:sz w:val="32"/>
          <w:szCs w:val="32"/>
        </w:rPr>
        <w:t xml:space="preserve"> По всему району соревнований будут стоять контролеры, которые будут следить за сохранностью инвентаря, безопасностью участников от транспортных средств и соблюдением участниками правил соревнований.</w:t>
      </w:r>
      <w:r w:rsidR="0088636B">
        <w:rPr>
          <w:rFonts w:ascii="Times New Roman" w:hAnsi="Times New Roman" w:cs="Times New Roman"/>
          <w:sz w:val="32"/>
          <w:szCs w:val="32"/>
        </w:rPr>
        <w:t xml:space="preserve"> </w:t>
      </w:r>
      <w:r w:rsidR="000F6770">
        <w:rPr>
          <w:rFonts w:ascii="Times New Roman" w:hAnsi="Times New Roman" w:cs="Times New Roman"/>
          <w:sz w:val="32"/>
          <w:szCs w:val="32"/>
        </w:rPr>
        <w:t xml:space="preserve">Начало соревнований в 10.00. </w:t>
      </w:r>
      <w:r w:rsidR="0088636B">
        <w:rPr>
          <w:rFonts w:ascii="Times New Roman" w:hAnsi="Times New Roman" w:cs="Times New Roman"/>
          <w:sz w:val="32"/>
          <w:szCs w:val="32"/>
        </w:rPr>
        <w:t>В 9.</w:t>
      </w:r>
      <w:r w:rsidR="000F6770">
        <w:rPr>
          <w:rFonts w:ascii="Times New Roman" w:hAnsi="Times New Roman" w:cs="Times New Roman"/>
          <w:sz w:val="32"/>
          <w:szCs w:val="32"/>
        </w:rPr>
        <w:t>3</w:t>
      </w:r>
      <w:r w:rsidR="00CF4452">
        <w:rPr>
          <w:rFonts w:ascii="Times New Roman" w:hAnsi="Times New Roman" w:cs="Times New Roman"/>
          <w:sz w:val="32"/>
          <w:szCs w:val="32"/>
        </w:rPr>
        <w:t>0</w:t>
      </w:r>
      <w:r w:rsidR="0088636B">
        <w:rPr>
          <w:rFonts w:ascii="Times New Roman" w:hAnsi="Times New Roman" w:cs="Times New Roman"/>
          <w:sz w:val="32"/>
          <w:szCs w:val="32"/>
        </w:rPr>
        <w:t xml:space="preserve"> все участники должны находиться в зоне стартовой изоляции во дворе д.10 и д.14 по ул. Перова. Разминка разрешена только </w:t>
      </w:r>
      <w:r w:rsidR="000022AA">
        <w:rPr>
          <w:rFonts w:ascii="Times New Roman" w:hAnsi="Times New Roman" w:cs="Times New Roman"/>
          <w:sz w:val="32"/>
          <w:szCs w:val="32"/>
        </w:rPr>
        <w:t xml:space="preserve">в этом дворе </w:t>
      </w:r>
      <w:r w:rsidR="0088636B">
        <w:rPr>
          <w:rFonts w:ascii="Times New Roman" w:hAnsi="Times New Roman" w:cs="Times New Roman"/>
          <w:sz w:val="32"/>
          <w:szCs w:val="32"/>
        </w:rPr>
        <w:t>н</w:t>
      </w:r>
      <w:r w:rsidR="000022AA">
        <w:rPr>
          <w:rFonts w:ascii="Times New Roman" w:hAnsi="Times New Roman" w:cs="Times New Roman"/>
          <w:sz w:val="32"/>
          <w:szCs w:val="32"/>
        </w:rPr>
        <w:t>а</w:t>
      </w:r>
      <w:r w:rsidR="0088636B">
        <w:rPr>
          <w:rFonts w:ascii="Times New Roman" w:hAnsi="Times New Roman" w:cs="Times New Roman"/>
          <w:sz w:val="32"/>
          <w:szCs w:val="32"/>
        </w:rPr>
        <w:t xml:space="preserve"> футбольной площадке</w:t>
      </w:r>
      <w:r w:rsidR="000022AA">
        <w:rPr>
          <w:rFonts w:ascii="Times New Roman" w:hAnsi="Times New Roman" w:cs="Times New Roman"/>
          <w:sz w:val="32"/>
          <w:szCs w:val="32"/>
        </w:rPr>
        <w:t xml:space="preserve"> или вокруг нее</w:t>
      </w:r>
      <w:r w:rsidR="0088636B">
        <w:rPr>
          <w:rFonts w:ascii="Times New Roman" w:hAnsi="Times New Roman" w:cs="Times New Roman"/>
          <w:sz w:val="32"/>
          <w:szCs w:val="32"/>
        </w:rPr>
        <w:t>. Участники, не вошедшие в зону изоляции до 9.</w:t>
      </w:r>
      <w:r w:rsidR="000F6770">
        <w:rPr>
          <w:rFonts w:ascii="Times New Roman" w:hAnsi="Times New Roman" w:cs="Times New Roman"/>
          <w:sz w:val="32"/>
          <w:szCs w:val="32"/>
        </w:rPr>
        <w:t>3</w:t>
      </w:r>
      <w:r w:rsidR="00CF4452">
        <w:rPr>
          <w:rFonts w:ascii="Times New Roman" w:hAnsi="Times New Roman" w:cs="Times New Roman"/>
          <w:sz w:val="32"/>
          <w:szCs w:val="32"/>
        </w:rPr>
        <w:t>0</w:t>
      </w:r>
      <w:r w:rsidR="0088636B">
        <w:rPr>
          <w:rFonts w:ascii="Times New Roman" w:hAnsi="Times New Roman" w:cs="Times New Roman"/>
          <w:sz w:val="32"/>
          <w:szCs w:val="32"/>
        </w:rPr>
        <w:t>, а также покинувшие ее раньше своей стартовой минуты</w:t>
      </w:r>
      <w:r w:rsidR="00E104E4">
        <w:rPr>
          <w:rFonts w:ascii="Times New Roman" w:hAnsi="Times New Roman" w:cs="Times New Roman"/>
          <w:sz w:val="32"/>
          <w:szCs w:val="32"/>
        </w:rPr>
        <w:t>,</w:t>
      </w:r>
      <w:r w:rsidR="0088636B">
        <w:rPr>
          <w:rFonts w:ascii="Times New Roman" w:hAnsi="Times New Roman" w:cs="Times New Roman"/>
          <w:sz w:val="32"/>
          <w:szCs w:val="32"/>
        </w:rPr>
        <w:t xml:space="preserve"> дисквалифицируются.</w:t>
      </w:r>
      <w:r w:rsidR="00CF445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291E30A" w14:textId="44E191B3" w:rsidR="000F6770" w:rsidRDefault="00410886" w:rsidP="00C3656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C3656E">
        <w:rPr>
          <w:rFonts w:ascii="Times New Roman" w:hAnsi="Times New Roman" w:cs="Times New Roman"/>
          <w:sz w:val="32"/>
          <w:szCs w:val="32"/>
        </w:rPr>
        <w:t>Контрольное время для всех групп 60 минут.</w:t>
      </w:r>
      <w:r w:rsidR="00943F0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1412219" w14:textId="77777777" w:rsidR="000F6770" w:rsidRDefault="000F6770" w:rsidP="00C3656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26619FC" w14:textId="6E90B4F0" w:rsidR="0088636B" w:rsidRDefault="00C3656E" w:rsidP="00C3656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Параметры дистанции: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C3656E" w14:paraId="3FF57312" w14:textId="77777777" w:rsidTr="00C3656E">
        <w:tc>
          <w:tcPr>
            <w:tcW w:w="3077" w:type="dxa"/>
          </w:tcPr>
          <w:p w14:paraId="0C08A90B" w14:textId="77777777" w:rsidR="00C3656E" w:rsidRDefault="00C3656E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7" w:type="dxa"/>
          </w:tcPr>
          <w:p w14:paraId="4349BED9" w14:textId="205C4045" w:rsidR="00C3656E" w:rsidRDefault="00943F03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Протяженность</w:t>
            </w:r>
          </w:p>
        </w:tc>
        <w:tc>
          <w:tcPr>
            <w:tcW w:w="3078" w:type="dxa"/>
          </w:tcPr>
          <w:p w14:paraId="7F2B58FB" w14:textId="0D3686CF" w:rsidR="00C3656E" w:rsidRDefault="00943F03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КП</w:t>
            </w:r>
          </w:p>
        </w:tc>
        <w:tc>
          <w:tcPr>
            <w:tcW w:w="3078" w:type="dxa"/>
          </w:tcPr>
          <w:p w14:paraId="3D018055" w14:textId="015C3FB3" w:rsidR="00C3656E" w:rsidRDefault="00943F03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Масштаб карты</w:t>
            </w:r>
          </w:p>
        </w:tc>
        <w:tc>
          <w:tcPr>
            <w:tcW w:w="3078" w:type="dxa"/>
          </w:tcPr>
          <w:p w14:paraId="7DA50D20" w14:textId="5F688FDF" w:rsidR="00C3656E" w:rsidRDefault="00943F03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кругов</w:t>
            </w:r>
          </w:p>
        </w:tc>
      </w:tr>
      <w:tr w:rsidR="00513C67" w14:paraId="65BA4C0B" w14:textId="77777777" w:rsidTr="00C3656E">
        <w:tc>
          <w:tcPr>
            <w:tcW w:w="3077" w:type="dxa"/>
          </w:tcPr>
          <w:p w14:paraId="464C497D" w14:textId="72E8EDAE" w:rsidR="00513C67" w:rsidRDefault="00513C67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МЖ – 8 </w:t>
            </w:r>
          </w:p>
        </w:tc>
        <w:tc>
          <w:tcPr>
            <w:tcW w:w="3077" w:type="dxa"/>
          </w:tcPr>
          <w:p w14:paraId="77AC12FA" w14:textId="0A8DC794" w:rsidR="00513C67" w:rsidRDefault="00513C67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 км</w:t>
            </w:r>
          </w:p>
        </w:tc>
        <w:tc>
          <w:tcPr>
            <w:tcW w:w="3078" w:type="dxa"/>
          </w:tcPr>
          <w:p w14:paraId="1F610778" w14:textId="7C2E3887" w:rsidR="00513C67" w:rsidRDefault="00513C67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078" w:type="dxa"/>
            <w:vMerge w:val="restart"/>
          </w:tcPr>
          <w:p w14:paraId="686849CD" w14:textId="77CC5276" w:rsidR="00513C67" w:rsidRDefault="00513C67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1:2500</w:t>
            </w:r>
          </w:p>
        </w:tc>
        <w:tc>
          <w:tcPr>
            <w:tcW w:w="3078" w:type="dxa"/>
            <w:vMerge w:val="restart"/>
          </w:tcPr>
          <w:p w14:paraId="03E43B0E" w14:textId="0BF60AC8" w:rsidR="00513C67" w:rsidRDefault="00513C67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13C67" w14:paraId="630FDB28" w14:textId="77777777" w:rsidTr="00C3656E">
        <w:tc>
          <w:tcPr>
            <w:tcW w:w="3077" w:type="dxa"/>
          </w:tcPr>
          <w:p w14:paraId="37043889" w14:textId="58ACC935" w:rsidR="00513C67" w:rsidRDefault="00513C67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МЖ – 10 </w:t>
            </w:r>
          </w:p>
        </w:tc>
        <w:tc>
          <w:tcPr>
            <w:tcW w:w="3077" w:type="dxa"/>
          </w:tcPr>
          <w:p w14:paraId="37F9A0E2" w14:textId="699DD009" w:rsidR="00513C67" w:rsidRDefault="00CF4452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0,9</w:t>
            </w:r>
            <w:r w:rsidR="00513C67">
              <w:rPr>
                <w:rFonts w:ascii="Times New Roman" w:hAnsi="Times New Roman" w:cs="Times New Roman"/>
                <w:sz w:val="32"/>
                <w:szCs w:val="32"/>
              </w:rPr>
              <w:t xml:space="preserve"> км</w:t>
            </w:r>
          </w:p>
        </w:tc>
        <w:tc>
          <w:tcPr>
            <w:tcW w:w="3078" w:type="dxa"/>
          </w:tcPr>
          <w:p w14:paraId="7E9DD205" w14:textId="2BC50984" w:rsidR="00513C67" w:rsidRDefault="00513C67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F445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78" w:type="dxa"/>
            <w:vMerge/>
          </w:tcPr>
          <w:p w14:paraId="078EF471" w14:textId="77777777" w:rsidR="00513C67" w:rsidRDefault="00513C67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8" w:type="dxa"/>
            <w:vMerge/>
          </w:tcPr>
          <w:p w14:paraId="124458D0" w14:textId="77777777" w:rsidR="00513C67" w:rsidRDefault="00513C67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3C67" w14:paraId="58BE70B7" w14:textId="77777777" w:rsidTr="00C3656E">
        <w:tc>
          <w:tcPr>
            <w:tcW w:w="3077" w:type="dxa"/>
          </w:tcPr>
          <w:p w14:paraId="72578530" w14:textId="01476AAF" w:rsidR="00513C67" w:rsidRDefault="00CF4452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513C67">
              <w:rPr>
                <w:rFonts w:ascii="Times New Roman" w:hAnsi="Times New Roman" w:cs="Times New Roman"/>
                <w:sz w:val="32"/>
                <w:szCs w:val="32"/>
              </w:rPr>
              <w:t xml:space="preserve">Ж – 12 </w:t>
            </w:r>
          </w:p>
        </w:tc>
        <w:tc>
          <w:tcPr>
            <w:tcW w:w="3077" w:type="dxa"/>
          </w:tcPr>
          <w:p w14:paraId="229D85B7" w14:textId="57EEE651" w:rsidR="00513C67" w:rsidRDefault="00513C67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</w:t>
            </w:r>
            <w:r w:rsidR="00CF445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км</w:t>
            </w:r>
          </w:p>
        </w:tc>
        <w:tc>
          <w:tcPr>
            <w:tcW w:w="3078" w:type="dxa"/>
          </w:tcPr>
          <w:p w14:paraId="101F79F3" w14:textId="2F022B64" w:rsidR="00513C67" w:rsidRDefault="00513C67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F445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78" w:type="dxa"/>
            <w:vMerge/>
          </w:tcPr>
          <w:p w14:paraId="22962929" w14:textId="77777777" w:rsidR="00513C67" w:rsidRDefault="00513C67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8" w:type="dxa"/>
            <w:vMerge/>
          </w:tcPr>
          <w:p w14:paraId="75B5C11D" w14:textId="77777777" w:rsidR="00513C67" w:rsidRDefault="00513C67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3C67" w14:paraId="2C24B026" w14:textId="77777777" w:rsidTr="00C3656E">
        <w:tc>
          <w:tcPr>
            <w:tcW w:w="3077" w:type="dxa"/>
          </w:tcPr>
          <w:p w14:paraId="740AC0FA" w14:textId="76D99530" w:rsidR="00513C67" w:rsidRPr="00513C67" w:rsidRDefault="00513C67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OPEN</w:t>
            </w:r>
          </w:p>
        </w:tc>
        <w:tc>
          <w:tcPr>
            <w:tcW w:w="3077" w:type="dxa"/>
          </w:tcPr>
          <w:p w14:paraId="5B9A294F" w14:textId="3BE1374A" w:rsidR="00513C67" w:rsidRDefault="00CF4452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0,8</w:t>
            </w:r>
            <w:r w:rsidR="00513C67">
              <w:rPr>
                <w:rFonts w:ascii="Times New Roman" w:hAnsi="Times New Roman" w:cs="Times New Roman"/>
                <w:sz w:val="32"/>
                <w:szCs w:val="32"/>
              </w:rPr>
              <w:t xml:space="preserve"> км</w:t>
            </w:r>
          </w:p>
        </w:tc>
        <w:tc>
          <w:tcPr>
            <w:tcW w:w="3078" w:type="dxa"/>
          </w:tcPr>
          <w:p w14:paraId="442FAA85" w14:textId="1C81A013" w:rsidR="00513C67" w:rsidRDefault="00CF4452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078" w:type="dxa"/>
            <w:vMerge/>
          </w:tcPr>
          <w:p w14:paraId="73AD7C97" w14:textId="77777777" w:rsidR="00513C67" w:rsidRDefault="00513C67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8" w:type="dxa"/>
            <w:vMerge/>
          </w:tcPr>
          <w:p w14:paraId="6191A99C" w14:textId="77777777" w:rsidR="00513C67" w:rsidRDefault="00513C67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4E91" w14:paraId="26D8CD5B" w14:textId="77777777" w:rsidTr="00C3656E">
        <w:tc>
          <w:tcPr>
            <w:tcW w:w="3077" w:type="dxa"/>
          </w:tcPr>
          <w:p w14:paraId="1CF70E00" w14:textId="0903D9DB" w:rsidR="00A54E91" w:rsidRDefault="00A54E91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МЖ – 14 </w:t>
            </w:r>
          </w:p>
        </w:tc>
        <w:tc>
          <w:tcPr>
            <w:tcW w:w="3077" w:type="dxa"/>
          </w:tcPr>
          <w:p w14:paraId="4CE0D098" w14:textId="36A5F1EC" w:rsidR="00A54E91" w:rsidRDefault="00A54E91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</w:t>
            </w:r>
            <w:r w:rsidR="00CF445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км</w:t>
            </w:r>
          </w:p>
        </w:tc>
        <w:tc>
          <w:tcPr>
            <w:tcW w:w="3078" w:type="dxa"/>
          </w:tcPr>
          <w:p w14:paraId="67AF32B4" w14:textId="5F8EFB7C" w:rsidR="00A54E91" w:rsidRDefault="00A54E91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F445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78" w:type="dxa"/>
            <w:vMerge/>
          </w:tcPr>
          <w:p w14:paraId="47391B47" w14:textId="77777777" w:rsidR="00A54E91" w:rsidRDefault="00A54E91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8" w:type="dxa"/>
            <w:vMerge w:val="restart"/>
          </w:tcPr>
          <w:p w14:paraId="74D83E3E" w14:textId="790857CB" w:rsidR="00A54E91" w:rsidRDefault="00A54E91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54E91" w14:paraId="375F4946" w14:textId="77777777" w:rsidTr="00C3656E">
        <w:tc>
          <w:tcPr>
            <w:tcW w:w="3077" w:type="dxa"/>
          </w:tcPr>
          <w:p w14:paraId="664AE736" w14:textId="00DD8A29" w:rsidR="00A54E91" w:rsidRDefault="00A54E91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МЖ – 16</w:t>
            </w:r>
          </w:p>
        </w:tc>
        <w:tc>
          <w:tcPr>
            <w:tcW w:w="3077" w:type="dxa"/>
          </w:tcPr>
          <w:p w14:paraId="6294E393" w14:textId="7DAD860B" w:rsidR="00A54E91" w:rsidRDefault="00A54E91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</w:t>
            </w:r>
            <w:r w:rsidR="00CF445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км</w:t>
            </w:r>
          </w:p>
        </w:tc>
        <w:tc>
          <w:tcPr>
            <w:tcW w:w="3078" w:type="dxa"/>
          </w:tcPr>
          <w:p w14:paraId="04EB59E5" w14:textId="60117072" w:rsidR="00A54E91" w:rsidRDefault="00A54E91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CF445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078" w:type="dxa"/>
            <w:vMerge/>
          </w:tcPr>
          <w:p w14:paraId="53E45159" w14:textId="77777777" w:rsidR="00A54E91" w:rsidRDefault="00A54E91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8" w:type="dxa"/>
            <w:vMerge/>
          </w:tcPr>
          <w:p w14:paraId="7911B525" w14:textId="77777777" w:rsidR="00A54E91" w:rsidRDefault="00A54E91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4E91" w14:paraId="3E475339" w14:textId="77777777" w:rsidTr="00C3656E">
        <w:tc>
          <w:tcPr>
            <w:tcW w:w="3077" w:type="dxa"/>
          </w:tcPr>
          <w:p w14:paraId="5D8ACD95" w14:textId="3F81BD80" w:rsidR="00A54E91" w:rsidRDefault="00A54E91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Ж – 21 </w:t>
            </w:r>
          </w:p>
        </w:tc>
        <w:tc>
          <w:tcPr>
            <w:tcW w:w="3077" w:type="dxa"/>
          </w:tcPr>
          <w:p w14:paraId="30FDAE16" w14:textId="43D9F1E6" w:rsidR="00A54E91" w:rsidRDefault="00A54E91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</w:t>
            </w:r>
            <w:r w:rsidR="00CF445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км</w:t>
            </w:r>
          </w:p>
        </w:tc>
        <w:tc>
          <w:tcPr>
            <w:tcW w:w="3078" w:type="dxa"/>
          </w:tcPr>
          <w:p w14:paraId="0F0C5D7C" w14:textId="7B72107A" w:rsidR="00A54E91" w:rsidRDefault="00A54E91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CF445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078" w:type="dxa"/>
            <w:vMerge/>
          </w:tcPr>
          <w:p w14:paraId="686B0934" w14:textId="77777777" w:rsidR="00A54E91" w:rsidRDefault="00A54E91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8" w:type="dxa"/>
            <w:vMerge/>
          </w:tcPr>
          <w:p w14:paraId="6D4D01B4" w14:textId="77777777" w:rsidR="00A54E91" w:rsidRDefault="00A54E91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4E91" w14:paraId="6F919804" w14:textId="77777777" w:rsidTr="00C3656E">
        <w:tc>
          <w:tcPr>
            <w:tcW w:w="3077" w:type="dxa"/>
          </w:tcPr>
          <w:p w14:paraId="560100FB" w14:textId="6622E3E0" w:rsidR="00A54E91" w:rsidRDefault="00A54E91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 – 21 </w:t>
            </w:r>
          </w:p>
        </w:tc>
        <w:tc>
          <w:tcPr>
            <w:tcW w:w="3077" w:type="dxa"/>
          </w:tcPr>
          <w:p w14:paraId="7F8F7E70" w14:textId="28DAE90D" w:rsidR="00A54E91" w:rsidRDefault="00A54E91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</w:t>
            </w:r>
            <w:r w:rsidR="00CF445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км</w:t>
            </w:r>
          </w:p>
        </w:tc>
        <w:tc>
          <w:tcPr>
            <w:tcW w:w="3078" w:type="dxa"/>
          </w:tcPr>
          <w:p w14:paraId="3EF2860C" w14:textId="28ED274A" w:rsidR="00A54E91" w:rsidRDefault="00A54E91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CF445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78" w:type="dxa"/>
            <w:vMerge/>
          </w:tcPr>
          <w:p w14:paraId="790D61D5" w14:textId="77777777" w:rsidR="00A54E91" w:rsidRDefault="00A54E91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8" w:type="dxa"/>
            <w:vMerge/>
          </w:tcPr>
          <w:p w14:paraId="116F22AA" w14:textId="77777777" w:rsidR="00A54E91" w:rsidRDefault="00A54E91" w:rsidP="00C365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C343526" w14:textId="77777777" w:rsidR="00C3656E" w:rsidRDefault="00C3656E" w:rsidP="00C3656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060EB73" w14:textId="7BF7F554" w:rsidR="00943F03" w:rsidRDefault="00410886" w:rsidP="00943F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CE3A0C">
        <w:rPr>
          <w:rFonts w:ascii="Times New Roman" w:hAnsi="Times New Roman" w:cs="Times New Roman"/>
          <w:sz w:val="32"/>
          <w:szCs w:val="32"/>
        </w:rPr>
        <w:t>Номера участников</w:t>
      </w:r>
      <w:r w:rsidR="00513C67">
        <w:rPr>
          <w:rFonts w:ascii="Times New Roman" w:hAnsi="Times New Roman" w:cs="Times New Roman"/>
          <w:sz w:val="32"/>
          <w:szCs w:val="32"/>
        </w:rPr>
        <w:t xml:space="preserve"> и карточки участников</w:t>
      </w:r>
      <w:r w:rsidR="00CE3A0C">
        <w:rPr>
          <w:rFonts w:ascii="Times New Roman" w:hAnsi="Times New Roman" w:cs="Times New Roman"/>
          <w:sz w:val="32"/>
          <w:szCs w:val="32"/>
        </w:rPr>
        <w:t xml:space="preserve"> с 9.</w:t>
      </w:r>
      <w:r w:rsidR="00CF4452">
        <w:rPr>
          <w:rFonts w:ascii="Times New Roman" w:hAnsi="Times New Roman" w:cs="Times New Roman"/>
          <w:sz w:val="32"/>
          <w:szCs w:val="32"/>
        </w:rPr>
        <w:t>30</w:t>
      </w:r>
      <w:r w:rsidR="00CE3A0C">
        <w:rPr>
          <w:rFonts w:ascii="Times New Roman" w:hAnsi="Times New Roman" w:cs="Times New Roman"/>
          <w:sz w:val="32"/>
          <w:szCs w:val="32"/>
        </w:rPr>
        <w:t xml:space="preserve"> до 9.</w:t>
      </w:r>
      <w:r w:rsidR="00CF4452">
        <w:rPr>
          <w:rFonts w:ascii="Times New Roman" w:hAnsi="Times New Roman" w:cs="Times New Roman"/>
          <w:sz w:val="32"/>
          <w:szCs w:val="32"/>
        </w:rPr>
        <w:t>50</w:t>
      </w:r>
      <w:r w:rsidR="00CE3A0C">
        <w:rPr>
          <w:rFonts w:ascii="Times New Roman" w:hAnsi="Times New Roman" w:cs="Times New Roman"/>
          <w:sz w:val="32"/>
          <w:szCs w:val="32"/>
        </w:rPr>
        <w:t xml:space="preserve"> на месте старта. </w:t>
      </w:r>
      <w:r w:rsidR="000F6770">
        <w:rPr>
          <w:rFonts w:ascii="Times New Roman" w:hAnsi="Times New Roman" w:cs="Times New Roman"/>
          <w:sz w:val="32"/>
          <w:szCs w:val="32"/>
        </w:rPr>
        <w:t xml:space="preserve">Участникам необходимо иметь булавки и маленькие файлы для крепления номера, скотч для герметизации карточки в случае дождя. Для герметизации карт будут предоставлены файлы в стартовом коридоре. </w:t>
      </w:r>
      <w:r>
        <w:rPr>
          <w:rFonts w:ascii="Times New Roman" w:hAnsi="Times New Roman" w:cs="Times New Roman"/>
          <w:sz w:val="32"/>
          <w:szCs w:val="32"/>
        </w:rPr>
        <w:t>В случае отсутствия дождя техническое место старта совпадает с местом начала ориентирования. В случае дождя со старта движение 50 метров по маркировке до пункта К. (Это будет известно в день соревнований</w:t>
      </w:r>
      <w:r w:rsidR="000022AA">
        <w:rPr>
          <w:rFonts w:ascii="Times New Roman" w:hAnsi="Times New Roman" w:cs="Times New Roman"/>
          <w:sz w:val="32"/>
          <w:szCs w:val="32"/>
        </w:rPr>
        <w:t>, в случае дождя на месте старта-финиша поставим шатер</w:t>
      </w:r>
      <w:r>
        <w:rPr>
          <w:rFonts w:ascii="Times New Roman" w:hAnsi="Times New Roman" w:cs="Times New Roman"/>
          <w:sz w:val="32"/>
          <w:szCs w:val="32"/>
        </w:rPr>
        <w:t xml:space="preserve">). </w:t>
      </w:r>
      <w:r w:rsidR="00943F03">
        <w:rPr>
          <w:rFonts w:ascii="Times New Roman" w:hAnsi="Times New Roman" w:cs="Times New Roman"/>
          <w:sz w:val="32"/>
          <w:szCs w:val="32"/>
        </w:rPr>
        <w:t>Награждение</w:t>
      </w:r>
      <w:r w:rsidR="00CF4452">
        <w:rPr>
          <w:rFonts w:ascii="Times New Roman" w:hAnsi="Times New Roman" w:cs="Times New Roman"/>
          <w:sz w:val="32"/>
          <w:szCs w:val="32"/>
        </w:rPr>
        <w:t xml:space="preserve"> </w:t>
      </w:r>
      <w:r w:rsidR="00943F03">
        <w:rPr>
          <w:rFonts w:ascii="Times New Roman" w:hAnsi="Times New Roman" w:cs="Times New Roman"/>
          <w:sz w:val="32"/>
          <w:szCs w:val="32"/>
        </w:rPr>
        <w:t>16 сентября на месте старта Чемпионата и первенства области</w:t>
      </w:r>
      <w:r w:rsidR="00E104E4">
        <w:rPr>
          <w:rFonts w:ascii="Times New Roman" w:hAnsi="Times New Roman" w:cs="Times New Roman"/>
          <w:sz w:val="32"/>
          <w:szCs w:val="32"/>
        </w:rPr>
        <w:t xml:space="preserve"> за 3</w:t>
      </w:r>
      <w:r w:rsidR="00CF4452">
        <w:rPr>
          <w:rFonts w:ascii="Times New Roman" w:hAnsi="Times New Roman" w:cs="Times New Roman"/>
          <w:sz w:val="32"/>
          <w:szCs w:val="32"/>
        </w:rPr>
        <w:t>0</w:t>
      </w:r>
      <w:r w:rsidR="00E104E4">
        <w:rPr>
          <w:rFonts w:ascii="Times New Roman" w:hAnsi="Times New Roman" w:cs="Times New Roman"/>
          <w:sz w:val="32"/>
          <w:szCs w:val="32"/>
        </w:rPr>
        <w:t xml:space="preserve"> минут до начала соревнований.  </w:t>
      </w:r>
    </w:p>
    <w:p w14:paraId="0F16287C" w14:textId="0F151829" w:rsidR="00943F03" w:rsidRPr="00FA7A66" w:rsidRDefault="00943F03" w:rsidP="00943F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Удачного старта!</w:t>
      </w:r>
    </w:p>
    <w:sectPr w:rsidR="00943F03" w:rsidRPr="00FA7A66" w:rsidSect="00C365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66"/>
    <w:rsid w:val="000022AA"/>
    <w:rsid w:val="000F6770"/>
    <w:rsid w:val="002B2F43"/>
    <w:rsid w:val="00410886"/>
    <w:rsid w:val="00513C67"/>
    <w:rsid w:val="0088636B"/>
    <w:rsid w:val="00943F03"/>
    <w:rsid w:val="009501D5"/>
    <w:rsid w:val="00A54E91"/>
    <w:rsid w:val="00C3656E"/>
    <w:rsid w:val="00CE3A0C"/>
    <w:rsid w:val="00CF4452"/>
    <w:rsid w:val="00DD2359"/>
    <w:rsid w:val="00E104E4"/>
    <w:rsid w:val="00E27CE2"/>
    <w:rsid w:val="00F75237"/>
    <w:rsid w:val="00FA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660A"/>
  <w15:chartTrackingRefBased/>
  <w15:docId w15:val="{9C1040D3-DF85-44CB-AF86-EAB2B055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11</cp:revision>
  <cp:lastPrinted>2023-09-02T09:08:00Z</cp:lastPrinted>
  <dcterms:created xsi:type="dcterms:W3CDTF">2023-08-27T10:21:00Z</dcterms:created>
  <dcterms:modified xsi:type="dcterms:W3CDTF">2023-09-03T08:38:00Z</dcterms:modified>
</cp:coreProperties>
</file>